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828" w:rsidRDefault="00B10CDD">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90828" w:rsidRDefault="00B10CDD">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1.000660</w:t>
      </w:r>
    </w:p>
    <w:p w:rsidR="00E90828" w:rsidRDefault="00B10CDD">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1501/QĐ-BGTVT</w:t>
      </w:r>
    </w:p>
    <w:p w:rsidR="00E90828" w:rsidRDefault="00B10CDD">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đưa bến xe khách vào khai thác</w:t>
      </w:r>
    </w:p>
    <w:p w:rsidR="00E90828" w:rsidRDefault="00B10CDD">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E90828" w:rsidRDefault="00B10CDD">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E90828" w:rsidRDefault="00B10CDD">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E90828" w:rsidRDefault="00B10CDD">
      <w:pPr>
        <w:spacing w:after="0" w:line="276" w:lineRule="auto"/>
        <w:jc w:val="both"/>
      </w:pPr>
      <w:r>
        <w:rPr>
          <w:rFonts w:ascii="Times New Roman" w:eastAsia="Times New Roman" w:hAnsi="Times New Roman" w:cs="Times New Roman"/>
          <w:b/>
          <w:sz w:val="26"/>
        </w:rPr>
        <w:t xml:space="preserve">Trình tự thực hiện: </w:t>
      </w:r>
    </w:p>
    <w:p w:rsidR="00E90828" w:rsidRDefault="00E90828">
      <w:pPr>
        <w:shd w:val="clear" w:color="auto" w:fill="F2F6F9"/>
        <w:spacing w:before="120" w:after="0" w:line="276" w:lineRule="auto"/>
        <w:jc w:val="both"/>
      </w:pPr>
    </w:p>
    <w:p w:rsidR="00E90828" w:rsidRDefault="00B10CDD">
      <w:pPr>
        <w:spacing w:after="0" w:line="276" w:lineRule="auto"/>
        <w:jc w:val="both"/>
      </w:pPr>
      <w:r>
        <w:rPr>
          <w:rFonts w:ascii="Times New Roman" w:eastAsia="Times New Roman" w:hAnsi="Times New Roman" w:cs="Times New Roman"/>
          <w:sz w:val="26"/>
        </w:rPr>
        <w:t xml:space="preserve">a) Nộp </w:t>
      </w:r>
      <w:r>
        <w:rPr>
          <w:rFonts w:ascii="Times New Roman" w:eastAsia="Times New Roman" w:hAnsi="Times New Roman" w:cs="Times New Roman"/>
          <w:sz w:val="26"/>
        </w:rPr>
        <w:t>hồ sơ TTHC: - Đơn vị kinh doanh dịch vụ bến xe khách nộp hồ sơ đề nghị đến Sở Giao thông vận tải địa phương nơi bến xe được xây dựng.</w:t>
      </w:r>
    </w:p>
    <w:p w:rsidR="00E90828" w:rsidRDefault="00B10CDD">
      <w:pPr>
        <w:spacing w:after="0" w:line="276" w:lineRule="auto"/>
        <w:jc w:val="both"/>
      </w:pPr>
      <w:r>
        <w:rPr>
          <w:rFonts w:ascii="Times New Roman" w:eastAsia="Times New Roman" w:hAnsi="Times New Roman" w:cs="Times New Roman"/>
          <w:sz w:val="26"/>
        </w:rPr>
        <w:t>b) Giải quyết TTHC: - Trong thời hạn 10 ngày, kể từ ngày nhận đủ hồ sơ đúng quy định, Sở Giao thông vận tải tổ chức kiểm t</w:t>
      </w:r>
      <w:r>
        <w:rPr>
          <w:rFonts w:ascii="Times New Roman" w:eastAsia="Times New Roman" w:hAnsi="Times New Roman" w:cs="Times New Roman"/>
          <w:sz w:val="26"/>
        </w:rPr>
        <w:t>ra các tiêu chí phân loại bến xe theo Quy chuẩn kỹ thuật quốc gia về bến xe khách và lập biên bản kiểm tra; - Trường hợp sau khi kiểm tra, nếu bến xe không đáp ứng đúng các tiêu chí thì phải ghi rõ các nội dung không đạt trong biên bản kiểm tra và trong th</w:t>
      </w:r>
      <w:r>
        <w:rPr>
          <w:rFonts w:ascii="Times New Roman" w:eastAsia="Times New Roman" w:hAnsi="Times New Roman" w:cs="Times New Roman"/>
          <w:sz w:val="26"/>
        </w:rPr>
        <w:t>ời hạn 02 ngày làm việc kể từ ngày kết thúc kiểm tra phải thông báo cho đơn vị kinh doanh dịch vụ bến xe khách; nếu bến xe đáp ứng đúng các quy định kỹ thuật của loại bến xe mà đơn vị kinh doanh dịch vụ bến xe đề nghị thì chậm nhất trong thời hạn 05 ngày l</w:t>
      </w:r>
      <w:r>
        <w:rPr>
          <w:rFonts w:ascii="Times New Roman" w:eastAsia="Times New Roman" w:hAnsi="Times New Roman" w:cs="Times New Roman"/>
          <w:sz w:val="26"/>
        </w:rPr>
        <w:t>àm việc kể từ ngày kết thúc kiểm tra, Sở Giao thông vận tải quyết định công bố đưa bến xe vào khai thác.</w:t>
      </w:r>
    </w:p>
    <w:p w:rsidR="00E90828" w:rsidRDefault="00B10CD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54"/>
        <w:gridCol w:w="898"/>
        <w:gridCol w:w="1034"/>
        <w:gridCol w:w="6625"/>
      </w:tblGrid>
      <w:tr w:rsidR="00E90828">
        <w:tblPrEx>
          <w:tblCellMar>
            <w:top w:w="0" w:type="dxa"/>
            <w:bottom w:w="0" w:type="dxa"/>
          </w:tblCellMar>
        </w:tblPrEx>
        <w:tc>
          <w:tcPr>
            <w:tcW w:w="1500" w:type="dxa"/>
          </w:tcPr>
          <w:p w:rsidR="00E90828" w:rsidRDefault="00E90828"/>
          <w:p w:rsidR="00E90828" w:rsidRDefault="00B10CDD">
            <w:pPr>
              <w:spacing w:after="0" w:line="276" w:lineRule="auto"/>
              <w:jc w:val="center"/>
            </w:pPr>
            <w:r>
              <w:rPr>
                <w:rFonts w:ascii="Times New Roman" w:eastAsia="Times New Roman" w:hAnsi="Times New Roman" w:cs="Times New Roman"/>
                <w:b/>
                <w:sz w:val="26"/>
              </w:rPr>
              <w:t>Hình thức nộp</w:t>
            </w:r>
          </w:p>
        </w:tc>
        <w:tc>
          <w:tcPr>
            <w:tcW w:w="2000" w:type="dxa"/>
          </w:tcPr>
          <w:p w:rsidR="00E90828" w:rsidRDefault="00E90828"/>
          <w:p w:rsidR="00E90828" w:rsidRDefault="00B10CDD">
            <w:pPr>
              <w:spacing w:after="0" w:line="276" w:lineRule="auto"/>
              <w:jc w:val="center"/>
            </w:pPr>
            <w:r>
              <w:rPr>
                <w:rFonts w:ascii="Times New Roman" w:eastAsia="Times New Roman" w:hAnsi="Times New Roman" w:cs="Times New Roman"/>
                <w:b/>
                <w:sz w:val="26"/>
              </w:rPr>
              <w:t>Thời hạn giải quyết</w:t>
            </w:r>
          </w:p>
        </w:tc>
        <w:tc>
          <w:tcPr>
            <w:tcW w:w="3500" w:type="dxa"/>
          </w:tcPr>
          <w:p w:rsidR="00E90828" w:rsidRDefault="00E90828"/>
          <w:p w:rsidR="00E90828" w:rsidRDefault="00B10CDD">
            <w:pPr>
              <w:spacing w:after="0" w:line="276" w:lineRule="auto"/>
              <w:jc w:val="center"/>
            </w:pPr>
            <w:r>
              <w:rPr>
                <w:rFonts w:ascii="Times New Roman" w:eastAsia="Times New Roman" w:hAnsi="Times New Roman" w:cs="Times New Roman"/>
                <w:b/>
                <w:sz w:val="26"/>
              </w:rPr>
              <w:t>Phí, lệ phí</w:t>
            </w:r>
          </w:p>
        </w:tc>
        <w:tc>
          <w:tcPr>
            <w:tcW w:w="3000" w:type="dxa"/>
          </w:tcPr>
          <w:p w:rsidR="00E90828" w:rsidRDefault="00E90828"/>
          <w:p w:rsidR="00E90828" w:rsidRDefault="00B10CDD">
            <w:pPr>
              <w:spacing w:after="0" w:line="276" w:lineRule="auto"/>
              <w:jc w:val="center"/>
            </w:pPr>
            <w:r>
              <w:rPr>
                <w:rFonts w:ascii="Times New Roman" w:eastAsia="Times New Roman" w:hAnsi="Times New Roman" w:cs="Times New Roman"/>
                <w:b/>
                <w:sz w:val="26"/>
              </w:rPr>
              <w:t>Mô tả</w:t>
            </w:r>
          </w:p>
        </w:tc>
      </w:tr>
      <w:tr w:rsidR="00E90828">
        <w:tblPrEx>
          <w:tblCellMar>
            <w:top w:w="0" w:type="dxa"/>
            <w:bottom w:w="0" w:type="dxa"/>
          </w:tblCellMar>
        </w:tblPrEx>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Trực tiếp</w:t>
            </w:r>
          </w:p>
        </w:tc>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 xml:space="preserve"> </w:t>
            </w:r>
          </w:p>
        </w:tc>
        <w:tc>
          <w:tcPr>
            <w:tcW w:w="0" w:type="auto"/>
          </w:tcPr>
          <w:p w:rsidR="00E90828" w:rsidRDefault="00E90828"/>
          <w:p w:rsidR="00E90828" w:rsidRDefault="00E90828">
            <w:pPr>
              <w:spacing w:after="0" w:line="276" w:lineRule="auto"/>
            </w:pPr>
          </w:p>
        </w:tc>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 Thời hạn kiểm tra: trong thời hạn 10 ngày, kể từ ngày</w:t>
            </w:r>
            <w:r>
              <w:rPr>
                <w:rFonts w:ascii="Times New Roman" w:eastAsia="Times New Roman" w:hAnsi="Times New Roman" w:cs="Times New Roman"/>
                <w:sz w:val="26"/>
              </w:rPr>
              <w:t xml:space="preserve"> nhận đủ hồ sơ đúng quy định. - Thời hạn công bố: + Trường hợp quyết định công bố: trong thời hạn 05 ngày làm việc kể từ ngày kết thúc kiểm tra. + Trường hợp thông báo cho đơn vị kinh doanh dịch vụ bến xe khách: trong thời hạn 02 ngày làm việc kể từ ngày k</w:t>
            </w:r>
            <w:r>
              <w:rPr>
                <w:rFonts w:ascii="Times New Roman" w:eastAsia="Times New Roman" w:hAnsi="Times New Roman" w:cs="Times New Roman"/>
                <w:sz w:val="26"/>
              </w:rPr>
              <w:t>ết thúc kiểm tra.</w:t>
            </w:r>
          </w:p>
        </w:tc>
      </w:tr>
      <w:tr w:rsidR="00E90828">
        <w:tblPrEx>
          <w:tblCellMar>
            <w:top w:w="0" w:type="dxa"/>
            <w:bottom w:w="0" w:type="dxa"/>
          </w:tblCellMar>
        </w:tblPrEx>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Trực tuyến</w:t>
            </w:r>
          </w:p>
        </w:tc>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 xml:space="preserve"> </w:t>
            </w:r>
          </w:p>
        </w:tc>
        <w:tc>
          <w:tcPr>
            <w:tcW w:w="0" w:type="auto"/>
          </w:tcPr>
          <w:p w:rsidR="00E90828" w:rsidRDefault="00E90828"/>
          <w:p w:rsidR="00E90828" w:rsidRDefault="00E90828">
            <w:pPr>
              <w:spacing w:after="0" w:line="276" w:lineRule="auto"/>
            </w:pPr>
          </w:p>
        </w:tc>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 xml:space="preserve">- Thời hạn kiểm tra: trong thời hạn 10 ngày, kể từ ngày nhận đủ hồ sơ đúng quy định. - Thời hạn công bố: + Trường hợp </w:t>
            </w:r>
            <w:r>
              <w:rPr>
                <w:rFonts w:ascii="Times New Roman" w:eastAsia="Times New Roman" w:hAnsi="Times New Roman" w:cs="Times New Roman"/>
                <w:sz w:val="26"/>
              </w:rPr>
              <w:lastRenderedPageBreak/>
              <w:t xml:space="preserve">quyết định công bố: trong thời hạn 05 ngày làm việc kể từ ngày kết thúc kiểm tra. + Trường hợp thông </w:t>
            </w:r>
            <w:r>
              <w:rPr>
                <w:rFonts w:ascii="Times New Roman" w:eastAsia="Times New Roman" w:hAnsi="Times New Roman" w:cs="Times New Roman"/>
                <w:sz w:val="26"/>
              </w:rPr>
              <w:t>báo cho đơn vị kinh doanh dịch vụ bến xe khách: trong thời hạn 02 ngày làm việc kể từ ngày kết thúc kiểm tra.</w:t>
            </w:r>
          </w:p>
        </w:tc>
      </w:tr>
      <w:tr w:rsidR="00E90828">
        <w:tblPrEx>
          <w:tblCellMar>
            <w:top w:w="0" w:type="dxa"/>
            <w:bottom w:w="0" w:type="dxa"/>
          </w:tblCellMar>
        </w:tblPrEx>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Dịch vụ bưu chính</w:t>
            </w:r>
          </w:p>
        </w:tc>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 xml:space="preserve"> </w:t>
            </w:r>
          </w:p>
        </w:tc>
        <w:tc>
          <w:tcPr>
            <w:tcW w:w="0" w:type="auto"/>
          </w:tcPr>
          <w:p w:rsidR="00E90828" w:rsidRDefault="00E90828"/>
          <w:p w:rsidR="00E90828" w:rsidRDefault="00E90828">
            <w:pPr>
              <w:spacing w:after="0" w:line="276" w:lineRule="auto"/>
            </w:pPr>
          </w:p>
        </w:tc>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 Thời hạn kiểm tra: trong thời hạn 10 ngày, kể từ ngày nhận đủ hồ sơ đúng quy định. - Thời hạn công bố: + Trường hợp qu</w:t>
            </w:r>
            <w:r>
              <w:rPr>
                <w:rFonts w:ascii="Times New Roman" w:eastAsia="Times New Roman" w:hAnsi="Times New Roman" w:cs="Times New Roman"/>
                <w:sz w:val="26"/>
              </w:rPr>
              <w:t>yết định công bố: trong thời hạn 05 ngày làm việc kể từ ngày kết thúc kiểm tra. + Trường hợp thông báo cho đơn vị kinh doanh dịch vụ bến xe khách: trong thời hạn 02 ngày làm việc kể từ ngày kết thúc kiểm tra.</w:t>
            </w:r>
          </w:p>
        </w:tc>
      </w:tr>
    </w:tbl>
    <w:p w:rsidR="00E90828" w:rsidRDefault="00B10CDD">
      <w:pPr>
        <w:spacing w:before="240" w:after="0" w:line="276" w:lineRule="auto"/>
        <w:jc w:val="both"/>
      </w:pPr>
      <w:r>
        <w:rPr>
          <w:rFonts w:ascii="Times New Roman" w:eastAsia="Times New Roman" w:hAnsi="Times New Roman" w:cs="Times New Roman"/>
          <w:b/>
          <w:sz w:val="26"/>
        </w:rPr>
        <w:t xml:space="preserve">Thành phần hồ sơ: </w:t>
      </w:r>
    </w:p>
    <w:p w:rsidR="00E90828" w:rsidRDefault="00B10CD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370"/>
        <w:gridCol w:w="1722"/>
        <w:gridCol w:w="1319"/>
      </w:tblGrid>
      <w:tr w:rsidR="00E90828">
        <w:tblPrEx>
          <w:tblCellMar>
            <w:top w:w="0" w:type="dxa"/>
            <w:bottom w:w="0" w:type="dxa"/>
          </w:tblCellMar>
        </w:tblPrEx>
        <w:tc>
          <w:tcPr>
            <w:tcW w:w="6000" w:type="dxa"/>
          </w:tcPr>
          <w:p w:rsidR="00E90828" w:rsidRDefault="00E90828"/>
          <w:p w:rsidR="00E90828" w:rsidRDefault="00B10CDD">
            <w:pPr>
              <w:spacing w:after="0" w:line="276" w:lineRule="auto"/>
              <w:jc w:val="center"/>
            </w:pPr>
            <w:r>
              <w:rPr>
                <w:rFonts w:ascii="Times New Roman" w:eastAsia="Times New Roman" w:hAnsi="Times New Roman" w:cs="Times New Roman"/>
                <w:b/>
                <w:sz w:val="26"/>
              </w:rPr>
              <w:t>Tên giấy tờ</w:t>
            </w:r>
          </w:p>
        </w:tc>
        <w:tc>
          <w:tcPr>
            <w:tcW w:w="2000" w:type="dxa"/>
          </w:tcPr>
          <w:p w:rsidR="00E90828" w:rsidRDefault="00E90828"/>
          <w:p w:rsidR="00E90828" w:rsidRDefault="00B10CDD">
            <w:pPr>
              <w:spacing w:after="0" w:line="276" w:lineRule="auto"/>
              <w:jc w:val="center"/>
            </w:pPr>
            <w:r>
              <w:rPr>
                <w:rFonts w:ascii="Times New Roman" w:eastAsia="Times New Roman" w:hAnsi="Times New Roman" w:cs="Times New Roman"/>
                <w:b/>
                <w:sz w:val="26"/>
              </w:rPr>
              <w:t xml:space="preserve">Mẫu </w:t>
            </w:r>
            <w:r>
              <w:rPr>
                <w:rFonts w:ascii="Times New Roman" w:eastAsia="Times New Roman" w:hAnsi="Times New Roman" w:cs="Times New Roman"/>
                <w:b/>
                <w:sz w:val="26"/>
              </w:rPr>
              <w:t>đơn, tờ khai</w:t>
            </w:r>
          </w:p>
        </w:tc>
        <w:tc>
          <w:tcPr>
            <w:tcW w:w="2000" w:type="dxa"/>
          </w:tcPr>
          <w:p w:rsidR="00E90828" w:rsidRDefault="00E90828"/>
          <w:p w:rsidR="00E90828" w:rsidRDefault="00B10CDD">
            <w:pPr>
              <w:spacing w:after="0" w:line="276" w:lineRule="auto"/>
              <w:jc w:val="center"/>
            </w:pPr>
            <w:r>
              <w:rPr>
                <w:rFonts w:ascii="Times New Roman" w:eastAsia="Times New Roman" w:hAnsi="Times New Roman" w:cs="Times New Roman"/>
                <w:b/>
                <w:sz w:val="26"/>
              </w:rPr>
              <w:t>Số lượng</w:t>
            </w:r>
          </w:p>
        </w:tc>
      </w:tr>
      <w:tr w:rsidR="00E90828">
        <w:tblPrEx>
          <w:tblCellMar>
            <w:top w:w="0" w:type="dxa"/>
            <w:bottom w:w="0" w:type="dxa"/>
          </w:tblCellMar>
        </w:tblPrEx>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Văn bản đề nghị công bố đưa bến xe khách vào khai thác theo mẫu</w:t>
            </w:r>
          </w:p>
        </w:tc>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Mucngb.docx</w:t>
            </w:r>
          </w:p>
        </w:tc>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90828">
        <w:tblPrEx>
          <w:tblCellMar>
            <w:top w:w="0" w:type="dxa"/>
            <w:bottom w:w="0" w:type="dxa"/>
          </w:tblCellMar>
        </w:tblPrEx>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Văn bản chấp thuận đấu nối đường ra, vào bến xe với đường bộ của cơ quan có thẩm quyền</w:t>
            </w:r>
          </w:p>
        </w:tc>
        <w:tc>
          <w:tcPr>
            <w:tcW w:w="0" w:type="auto"/>
          </w:tcPr>
          <w:p w:rsidR="00E90828" w:rsidRDefault="00E90828"/>
        </w:tc>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90828">
        <w:tblPrEx>
          <w:tblCellMar>
            <w:top w:w="0" w:type="dxa"/>
            <w:bottom w:w="0" w:type="dxa"/>
          </w:tblCellMar>
        </w:tblPrEx>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 xml:space="preserve">Bản vẽ bố </w:t>
            </w:r>
            <w:r>
              <w:rPr>
                <w:rFonts w:ascii="Times New Roman" w:eastAsia="Times New Roman" w:hAnsi="Times New Roman" w:cs="Times New Roman"/>
                <w:sz w:val="26"/>
              </w:rPr>
              <w:t>trí mặt bằng tổng thể bến xe</w:t>
            </w:r>
          </w:p>
        </w:tc>
        <w:tc>
          <w:tcPr>
            <w:tcW w:w="0" w:type="auto"/>
          </w:tcPr>
          <w:p w:rsidR="00E90828" w:rsidRDefault="00E90828"/>
        </w:tc>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90828">
        <w:tblPrEx>
          <w:tblCellMar>
            <w:top w:w="0" w:type="dxa"/>
            <w:bottom w:w="0" w:type="dxa"/>
          </w:tblCellMar>
        </w:tblPrEx>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Bản đối chiếu các quy định kỹ thuật theo Quy chuẩn kỹ thuật quốc gia về bến xe khách với các công trình của bến xe</w:t>
            </w:r>
          </w:p>
        </w:tc>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Mucngb.docx</w:t>
            </w:r>
          </w:p>
        </w:tc>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90828">
        <w:tblPrEx>
          <w:tblCellMar>
            <w:top w:w="0" w:type="dxa"/>
            <w:bottom w:w="0" w:type="dxa"/>
          </w:tblCellMar>
        </w:tblPrEx>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 xml:space="preserve">Quy chế quản lý khai thác bến xe khách do </w:t>
            </w:r>
            <w:r>
              <w:rPr>
                <w:rFonts w:ascii="Times New Roman" w:eastAsia="Times New Roman" w:hAnsi="Times New Roman" w:cs="Times New Roman"/>
                <w:sz w:val="26"/>
              </w:rPr>
              <w:t>đơn vị kinh doanh dịch vụ bến xe khách ban hành</w:t>
            </w:r>
          </w:p>
        </w:tc>
        <w:tc>
          <w:tcPr>
            <w:tcW w:w="0" w:type="auto"/>
          </w:tcPr>
          <w:p w:rsidR="00E90828" w:rsidRDefault="00E90828"/>
        </w:tc>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90828">
        <w:tblPrEx>
          <w:tblCellMar>
            <w:top w:w="0" w:type="dxa"/>
            <w:bottom w:w="0" w:type="dxa"/>
          </w:tblCellMar>
        </w:tblPrEx>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Quyết định cho phép đầu tư xây dựng của cơ quan có thẩm quyền và biên bản nghiệm thu xây dựng</w:t>
            </w:r>
          </w:p>
        </w:tc>
        <w:tc>
          <w:tcPr>
            <w:tcW w:w="0" w:type="auto"/>
          </w:tcPr>
          <w:p w:rsidR="00E90828" w:rsidRDefault="00E90828"/>
        </w:tc>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E90828" w:rsidRDefault="00B10CD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Doanh nghiệp, Doanh nghiệp có vốn đầu </w:t>
      </w:r>
      <w:r>
        <w:rPr>
          <w:rFonts w:ascii="Times New Roman" w:eastAsia="Times New Roman" w:hAnsi="Times New Roman" w:cs="Times New Roman"/>
          <w:sz w:val="26"/>
        </w:rPr>
        <w:t>tư nước ngoài, Tổ chức (không bao gồm doanh nghiệp, HTX), Tổ chức nước ngoài, Hợp tác xã</w:t>
      </w:r>
    </w:p>
    <w:p w:rsidR="00E90828" w:rsidRDefault="00B10CD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Giao thông vận tải</w:t>
      </w:r>
    </w:p>
    <w:p w:rsidR="00E90828" w:rsidRDefault="00B10CD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E90828" w:rsidRDefault="00B10CD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Sở Giao thông vận tải</w:t>
      </w:r>
    </w:p>
    <w:p w:rsidR="00E90828" w:rsidRDefault="00B10CD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w:t>
      </w:r>
      <w:r>
        <w:rPr>
          <w:rFonts w:ascii="Times New Roman" w:eastAsia="Times New Roman" w:hAnsi="Times New Roman" w:cs="Times New Roman"/>
          <w:sz w:val="26"/>
        </w:rPr>
        <w:t>n</w:t>
      </w:r>
    </w:p>
    <w:p w:rsidR="00E90828" w:rsidRDefault="00B10CD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90828" w:rsidRDefault="00B10CD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công bố đưa bến xe khách vào khai thác</w:t>
      </w:r>
    </w:p>
    <w:p w:rsidR="00E90828" w:rsidRDefault="00B10CDD">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E90828">
        <w:tblPrEx>
          <w:tblCellMar>
            <w:top w:w="0" w:type="dxa"/>
            <w:bottom w:w="0" w:type="dxa"/>
          </w:tblCellMar>
        </w:tblPrEx>
        <w:tc>
          <w:tcPr>
            <w:tcW w:w="2000" w:type="dxa"/>
          </w:tcPr>
          <w:p w:rsidR="00E90828" w:rsidRDefault="00E90828"/>
          <w:p w:rsidR="00E90828" w:rsidRDefault="00B10CDD">
            <w:pPr>
              <w:spacing w:after="0" w:line="276" w:lineRule="auto"/>
              <w:jc w:val="center"/>
            </w:pPr>
            <w:r>
              <w:rPr>
                <w:rFonts w:ascii="Times New Roman" w:eastAsia="Times New Roman" w:hAnsi="Times New Roman" w:cs="Times New Roman"/>
                <w:b/>
                <w:sz w:val="26"/>
              </w:rPr>
              <w:t>Số ký hiệu</w:t>
            </w:r>
          </w:p>
        </w:tc>
        <w:tc>
          <w:tcPr>
            <w:tcW w:w="3500" w:type="dxa"/>
          </w:tcPr>
          <w:p w:rsidR="00E90828" w:rsidRDefault="00E90828"/>
          <w:p w:rsidR="00E90828" w:rsidRDefault="00B10CDD">
            <w:pPr>
              <w:spacing w:after="0" w:line="276" w:lineRule="auto"/>
              <w:jc w:val="center"/>
            </w:pPr>
            <w:r>
              <w:rPr>
                <w:rFonts w:ascii="Times New Roman" w:eastAsia="Times New Roman" w:hAnsi="Times New Roman" w:cs="Times New Roman"/>
                <w:b/>
                <w:sz w:val="26"/>
              </w:rPr>
              <w:t>Trích yếu</w:t>
            </w:r>
          </w:p>
        </w:tc>
        <w:tc>
          <w:tcPr>
            <w:tcW w:w="1500" w:type="dxa"/>
          </w:tcPr>
          <w:p w:rsidR="00E90828" w:rsidRDefault="00E90828"/>
          <w:p w:rsidR="00E90828" w:rsidRDefault="00B10CDD">
            <w:pPr>
              <w:spacing w:after="0" w:line="276" w:lineRule="auto"/>
              <w:jc w:val="center"/>
            </w:pPr>
            <w:r>
              <w:rPr>
                <w:rFonts w:ascii="Times New Roman" w:eastAsia="Times New Roman" w:hAnsi="Times New Roman" w:cs="Times New Roman"/>
                <w:b/>
                <w:sz w:val="26"/>
              </w:rPr>
              <w:t>Ngày ban hành</w:t>
            </w:r>
          </w:p>
        </w:tc>
        <w:tc>
          <w:tcPr>
            <w:tcW w:w="3000" w:type="dxa"/>
          </w:tcPr>
          <w:p w:rsidR="00E90828" w:rsidRDefault="00E90828"/>
          <w:p w:rsidR="00E90828" w:rsidRDefault="00B10CDD">
            <w:pPr>
              <w:spacing w:after="0" w:line="276" w:lineRule="auto"/>
              <w:jc w:val="center"/>
            </w:pPr>
            <w:r>
              <w:rPr>
                <w:rFonts w:ascii="Times New Roman" w:eastAsia="Times New Roman" w:hAnsi="Times New Roman" w:cs="Times New Roman"/>
                <w:b/>
                <w:sz w:val="26"/>
              </w:rPr>
              <w:t>Cơ quan ban hành</w:t>
            </w:r>
          </w:p>
        </w:tc>
      </w:tr>
      <w:tr w:rsidR="00E90828">
        <w:tblPrEx>
          <w:tblCellMar>
            <w:top w:w="0" w:type="dxa"/>
            <w:bottom w:w="0" w:type="dxa"/>
          </w:tblCellMar>
        </w:tblPrEx>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36/2024/TT-BGTVT</w:t>
            </w:r>
          </w:p>
        </w:tc>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 xml:space="preserve">Quy định về tổ chức, quản lý hoạt động vận tải bằng xe </w:t>
            </w:r>
            <w:r>
              <w:rPr>
                <w:rFonts w:ascii="Times New Roman" w:eastAsia="Times New Roman" w:hAnsi="Times New Roman" w:cs="Times New Roman"/>
                <w:sz w:val="26"/>
              </w:rPr>
              <w:t>ô tô và hoạt động của bến xe, bãi đỗ xe, trạm dừng nghỉ, điểm dừng xe trên đường bộ; quy định trình tự, thủ tục đưa bến xe, trạm dừng nghỉ vào khai thác</w:t>
            </w:r>
          </w:p>
        </w:tc>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15-11-2024</w:t>
            </w:r>
          </w:p>
        </w:tc>
        <w:tc>
          <w:tcPr>
            <w:tcW w:w="0" w:type="auto"/>
          </w:tcPr>
          <w:p w:rsidR="00E90828" w:rsidRDefault="00E90828"/>
          <w:p w:rsidR="00E90828" w:rsidRDefault="00B10CDD">
            <w:pPr>
              <w:spacing w:after="0" w:line="276" w:lineRule="auto"/>
            </w:pPr>
            <w:r>
              <w:rPr>
                <w:rFonts w:ascii="Times New Roman" w:eastAsia="Times New Roman" w:hAnsi="Times New Roman" w:cs="Times New Roman"/>
                <w:sz w:val="26"/>
              </w:rPr>
              <w:t>Bộ Giao thông vận tải</w:t>
            </w:r>
          </w:p>
        </w:tc>
      </w:tr>
    </w:tbl>
    <w:p w:rsidR="00E90828" w:rsidRDefault="00B10CD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Bến xe khách đưa vào khai thác phải đ</w:t>
      </w:r>
      <w:r>
        <w:rPr>
          <w:rFonts w:ascii="Times New Roman" w:eastAsia="Times New Roman" w:hAnsi="Times New Roman" w:cs="Times New Roman"/>
          <w:sz w:val="26"/>
        </w:rPr>
        <w:t>áp ứng yêu cầu theo Quy chuẩn kỹ thuật quốc gia về bến xe khách.</w:t>
      </w:r>
    </w:p>
    <w:p w:rsidR="00E90828" w:rsidRDefault="00B10CD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E90828" w:rsidRDefault="00B10CD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90828">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90828"/>
    <w:rsid w:val="00B10CDD"/>
    <w:rsid w:val="00E9082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F365DA-AA60-4723-99AD-F50BD0934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589</Words>
  <Characters>3363</Characters>
  <Application>Microsoft Office Word</Application>
  <DocSecurity>0</DocSecurity>
  <Lines>28</Lines>
  <Paragraphs>7</Paragraphs>
  <ScaleCrop>false</ScaleCrop>
  <Company>Microsoft</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